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3B" w:rsidRDefault="00DB203B" w:rsidP="00DB203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7177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3B" w:rsidRDefault="00DB203B" w:rsidP="00DB203B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Шпаклевка гипсовая Финишгипс.</w:t>
      </w:r>
    </w:p>
    <w:p w:rsidR="00DB203B" w:rsidRDefault="00DB203B" w:rsidP="00DB203B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Смесь сухая шпаклевочная на гипсовом вяжущем.</w:t>
      </w:r>
    </w:p>
    <w:p w:rsidR="00DB203B" w:rsidRDefault="00DB203B" w:rsidP="00DB203B">
      <w:pPr>
        <w:spacing w:after="0" w:line="240" w:lineRule="auto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6"/>
          <w:szCs w:val="16"/>
        </w:rPr>
        <w:t>ГОСТ Р 58278-2018</w:t>
      </w:r>
    </w:p>
    <w:p w:rsidR="00DB203B" w:rsidRDefault="00DB203B" w:rsidP="00DB203B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Область применения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Предназначена для тонкослойного финишного выравнивания стен и потолков с различным типом поверхности (оштукатуренные основания, пазогребневые плиты, гипсокартонные и гипсоволокнистые листы).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Используется для заделки стыков между листами гипсокартона с полукруглыми утоненными кромками без использования армирующей ленты. Обеспечивает идеальное качество поверхности.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Применяется при внутренней отделке помещений с нормальной влажностью в жилых зданиях, отделке административных, в том числе детских и медицинских, учреждений.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Основные свойства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тонкослойная, мелкозернистая;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эластичная, легко распределяется по поверхности;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высокопрочная;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устойчивая к образованию трещин;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экологически безопасна;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Технические характеристики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843"/>
      </w:tblGrid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Цвет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0,2-5 мм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0,45-0,55 л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Расход сухой смеси при толщине слоя 1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0,8-1 кг/м²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Расход при заделке стыков гипсокартонного листа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0,25-0,35 кг/м²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Начало схватывания от затворения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не ранее 110 минут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не ранее 24 часа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4,5 МПа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98%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 мм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0,5 МПа</w:t>
            </w:r>
          </w:p>
        </w:tc>
      </w:tr>
      <w:tr w:rsidR="00DB203B" w:rsidTr="00DB20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+5 до +30°С</w:t>
            </w:r>
          </w:p>
        </w:tc>
      </w:tr>
    </w:tbl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Внимание!</w:t>
      </w:r>
      <w:r>
        <w:rPr>
          <w:rFonts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Цвет сухой смеси и готового покрытия может быть различным- от белого до светло- серого, что связано со свойствами гипсового камня и толщиной нанесения шпаклевки. На технические и потребительские характеристики продукта данная особенность не влияет.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color w:val="000000" w:themeColor="text1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Подготовка поверхности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Поверхность основание для шпаклевания должна быть: прочной; не должна подвергаться деформации или усадке; сухой; очищенной от пыли, грязи, масляных и битумных пятен, отслаивающихся фрагментов старой отделки (побелка, краска, штукатурка и т.п.), большие и глубокие неровности поверхности необходимо устранить.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Стальные детали необходимо обработать антикоррозийными материалами. При необходимости установить угловые профили.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Температура основания и помещения должна быть от +5 до +30°С.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Произвести обработку поверхности грунтовочными составами в зависимости от типа основания и его впитывающей способности.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Приготовление раствора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В емкость с чистой холодной водой засыпать смесь в </w:t>
      </w:r>
      <w:r>
        <w:rPr>
          <w:rFonts w:cs="Times New Roman"/>
          <w:color w:val="000000" w:themeColor="text1"/>
          <w:sz w:val="14"/>
          <w:szCs w:val="14"/>
        </w:rPr>
        <w:t xml:space="preserve">соотношении 0,45-0,55 л на 1 кг (6,8-8,2 л на мешок 15 кг), </w:t>
      </w:r>
      <w:r>
        <w:rPr>
          <w:rFonts w:cs="Times New Roman"/>
          <w:sz w:val="14"/>
          <w:szCs w:val="14"/>
        </w:rPr>
        <w:t>перемешать вручную или с помощью строительного миксера до получения однородной массы. Выдержать паузу 2-4 минуты и повторно перемешать смесь.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Готовый раствор рекомендуется использовать в течение 100 минут.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Применение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Нанесение. 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Сплошное выравнивание плоских поверхностей.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</w:rPr>
      </w:pPr>
      <w:r>
        <w:rPr>
          <w:rFonts w:cs="Times New Roman"/>
          <w:sz w:val="14"/>
          <w:szCs w:val="14"/>
        </w:rPr>
        <w:t>Предварительно заделать имеющиеся неровности на поверхности, трещины, выемки. Затем, используя широкий шпатель, нанести и разровнять по плоскости шпаклевочную массу равномерным слоем. Толщина слоя не должна превышать 5 мм. После схватывания раствора, при необходимости, нанести поверх выравнивающий слой минимальной толщины</w:t>
      </w:r>
      <w:r>
        <w:rPr>
          <w:rFonts w:cs="Times New Roman"/>
          <w:b/>
          <w:sz w:val="14"/>
          <w:szCs w:val="14"/>
        </w:rPr>
        <w:t xml:space="preserve">. 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Заделка стыков гипсокартонных листов.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Заделка стыков с полукруглыми утоненными кромками без использования армирующей ленты. Нанести приготовленный раствор на область стыка и вдавить его шпателем шириной 15-20 мм, удалить излишки материала и выполнить выравнивание раствора по всей ширине стыка.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  <w:u w:val="single"/>
        </w:rPr>
        <w:t>Заделка стыков с другими видами кромок производится с применением армирующей ленты.</w:t>
      </w:r>
      <w:r>
        <w:rPr>
          <w:rFonts w:cs="Times New Roman"/>
          <w:sz w:val="14"/>
          <w:szCs w:val="14"/>
        </w:rPr>
        <w:t xml:space="preserve"> 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Нанести раствор на область стыка, вертикальными движениями шпателя выровнять растворную массу, утопить в нее армирующую ленту. 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После полного затвердения и высыхания первого слоя и обработки поверхности грунтовочным составом, широким шпателем нанести выравнивающий слой на всю ширину стыка. Выполнить шпаклевание крепежных элементов. Возможные неровности необходимо устранить с помощью шлифовального инструмента, когда высохнет последний слой. Шпаклевка хорошо шлифуется, обеспечивает ровную и гладкую поверхность. Для последующей финишной отделки поверхность необходимо обработать грунтовкой глубокого проникновения.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Для ускорения высыхания необходимо обеспечить хорошую вентиляцию помещения. В процессе высыхания поверхности исключить воздействие неблагоприятных факторов: сильных сквозняков, прямых солнечных лучей, воды.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Срок хранения и транспортировка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 Дата, время изготовления и № партии указаны на упаковке.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Условия хранения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Высота штабеля- не более двух ярусов.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Фасовка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Многослойные бумажные пакеты массой 15 кг.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Манипуляционные знаки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noProof/>
          <w:sz w:val="14"/>
          <w:szCs w:val="14"/>
          <w:lang w:eastAsia="ru-RU"/>
        </w:rPr>
        <w:lastRenderedPageBreak/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14"/>
          <w:szCs w:val="14"/>
        </w:rPr>
        <w:t xml:space="preserve"> 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1714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Меры предосторожности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Сухую смесь хранить в местах, недоступных для детей.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эффективной активности радионуклидов.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DB203B" w:rsidRDefault="00DB203B" w:rsidP="00DB203B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Утилизация отходов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Внимание!</w:t>
      </w:r>
      <w:r>
        <w:rPr>
          <w:rFonts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DB203B" w:rsidRDefault="00DB203B" w:rsidP="00DB203B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tbl>
      <w:tblPr>
        <w:tblStyle w:val="a3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DB203B" w:rsidTr="00DB203B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03B" w:rsidRDefault="00DB203B">
            <w:pPr>
              <w:spacing w:line="240" w:lineRule="auto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ИЗГОТОВИТЕЛЬ: ООО «Прикамская гипсовая компания» Адрес: 614033, Пермский край, г. Пермь, ул. Василия Васильева, 1</w:t>
            </w:r>
          </w:p>
          <w:p w:rsidR="00DB203B" w:rsidRDefault="00DB203B">
            <w:pPr>
              <w:spacing w:line="240" w:lineRule="auto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DB203B" w:rsidRDefault="00DB203B">
            <w:pPr>
              <w:spacing w:line="240" w:lineRule="auto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DB203B" w:rsidRDefault="00DB203B">
            <w:pPr>
              <w:spacing w:line="240" w:lineRule="auto"/>
              <w:jc w:val="both"/>
              <w:rPr>
                <w:rFonts w:cs="Times New Roman"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1A154F" w:rsidRDefault="001A154F">
      <w:bookmarkStart w:id="0" w:name="_GoBack"/>
      <w:bookmarkEnd w:id="0"/>
    </w:p>
    <w:sectPr w:rsidR="001A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05"/>
    <w:rsid w:val="000C1505"/>
    <w:rsid w:val="001A154F"/>
    <w:rsid w:val="00D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0ABB-5C3A-4F2D-A600-B6443B2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3B"/>
    <w:pPr>
      <w:spacing w:line="256" w:lineRule="auto"/>
    </w:pPr>
    <w:rPr>
      <w:rFonts w:ascii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3B"/>
    <w:pPr>
      <w:spacing w:after="0" w:line="240" w:lineRule="auto"/>
    </w:pPr>
    <w:rPr>
      <w:rFonts w:ascii="Times New Roman" w:hAnsi="Times New Roman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 Леонидовна</dc:creator>
  <cp:keywords/>
  <dc:description/>
  <cp:lastModifiedBy>Новоселова Наталья Леонидовна</cp:lastModifiedBy>
  <cp:revision>2</cp:revision>
  <dcterms:created xsi:type="dcterms:W3CDTF">2022-04-04T11:49:00Z</dcterms:created>
  <dcterms:modified xsi:type="dcterms:W3CDTF">2022-04-04T11:49:00Z</dcterms:modified>
</cp:coreProperties>
</file>